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115DD" w14:textId="0C825C15" w:rsidR="00F1786C" w:rsidRPr="00384FF6" w:rsidRDefault="00F1786C"/>
    <w:p w14:paraId="0013488E" w14:textId="7ED32887" w:rsidR="00384FF6" w:rsidRPr="00384FF6" w:rsidRDefault="00384FF6"/>
    <w:p w14:paraId="05C6C50C" w14:textId="3582242B" w:rsidR="00384FF6" w:rsidRPr="00384FF6" w:rsidRDefault="00384FF6"/>
    <w:p w14:paraId="5A6B2CFB" w14:textId="313D3AD3" w:rsidR="00384FF6" w:rsidRDefault="00384FF6" w:rsidP="00384FF6">
      <w:pPr>
        <w:pStyle w:val="af0"/>
        <w:jc w:val="right"/>
      </w:pPr>
      <w:r w:rsidRPr="00384FF6">
        <w:t xml:space="preserve">Приложение </w:t>
      </w:r>
      <w:r>
        <w:t>9</w:t>
      </w:r>
    </w:p>
    <w:p w14:paraId="40027AB0" w14:textId="518033AD" w:rsidR="00384FF6" w:rsidRPr="00384FF6" w:rsidRDefault="00384FF6" w:rsidP="00384FF6">
      <w:pPr>
        <w:pStyle w:val="af0"/>
        <w:jc w:val="right"/>
      </w:pPr>
      <w:r w:rsidRPr="00384FF6">
        <w:t>к закупочной документации №</w:t>
      </w:r>
      <w:r>
        <w:t>2885-25</w:t>
      </w:r>
      <w:r w:rsidRPr="00384FF6">
        <w:t>/ЗП</w:t>
      </w:r>
    </w:p>
    <w:p w14:paraId="5CB2520C" w14:textId="77777777" w:rsidR="00384FF6" w:rsidRPr="00384FF6" w:rsidRDefault="00384FF6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BC1DAA" w:rsidRPr="00384FF6" w14:paraId="2418EE9C" w14:textId="77777777" w:rsidTr="00725F45">
        <w:tc>
          <w:tcPr>
            <w:tcW w:w="4253" w:type="dxa"/>
          </w:tcPr>
          <w:p w14:paraId="2ACDD63E" w14:textId="77777777" w:rsidR="00BC1DAA" w:rsidRPr="00384FF6" w:rsidRDefault="00BC1DAA" w:rsidP="00F04092">
            <w:pPr>
              <w:spacing w:before="120"/>
              <w:jc w:val="center"/>
              <w:rPr>
                <w:b/>
                <w:lang w:val="en-US"/>
              </w:rPr>
            </w:pPr>
            <w:r w:rsidRPr="00384FF6">
              <w:rPr>
                <w:b/>
                <w:lang w:val="en-US"/>
              </w:rPr>
              <w:t>Certification</w:t>
            </w:r>
          </w:p>
          <w:p w14:paraId="35A0D63A" w14:textId="7148DD59" w:rsidR="00BC1DAA" w:rsidRPr="00384FF6" w:rsidRDefault="00725F45" w:rsidP="00A767A2">
            <w:pPr>
              <w:spacing w:before="120"/>
              <w:jc w:val="right"/>
              <w:rPr>
                <w:b/>
              </w:rPr>
            </w:pPr>
            <w:r w:rsidRPr="00384FF6">
              <w:rPr>
                <w:lang w:val="en-US"/>
              </w:rPr>
              <w:t>____________202</w:t>
            </w:r>
            <w:r w:rsidR="00A767A2" w:rsidRPr="00384FF6">
              <w:t>__</w:t>
            </w:r>
            <w:r w:rsidRPr="00384FF6">
              <w:rPr>
                <w:lang w:val="en-US"/>
              </w:rPr>
              <w:t xml:space="preserve"> </w:t>
            </w:r>
            <w:r w:rsidRPr="00384FF6">
              <w:t>г.</w:t>
            </w:r>
          </w:p>
        </w:tc>
        <w:tc>
          <w:tcPr>
            <w:tcW w:w="5092" w:type="dxa"/>
          </w:tcPr>
          <w:p w14:paraId="786A1EC6" w14:textId="77777777" w:rsidR="00BC1DAA" w:rsidRPr="00384FF6" w:rsidRDefault="00BC1DAA" w:rsidP="00F04092">
            <w:pPr>
              <w:spacing w:before="120"/>
              <w:jc w:val="center"/>
              <w:rPr>
                <w:b/>
              </w:rPr>
            </w:pPr>
            <w:r w:rsidRPr="00384FF6">
              <w:rPr>
                <w:b/>
              </w:rPr>
              <w:t>Заверение</w:t>
            </w:r>
          </w:p>
          <w:p w14:paraId="76473068" w14:textId="4DC49AD5" w:rsidR="00725F45" w:rsidRPr="00384FF6" w:rsidRDefault="00725F45" w:rsidP="00A767A2">
            <w:pPr>
              <w:spacing w:before="120"/>
              <w:jc w:val="right"/>
            </w:pPr>
            <w:r w:rsidRPr="00384FF6">
              <w:rPr>
                <w:lang w:val="en-US"/>
              </w:rPr>
              <w:t>____________202</w:t>
            </w:r>
            <w:r w:rsidR="00A767A2" w:rsidRPr="00384FF6">
              <w:t>__</w:t>
            </w:r>
            <w:r w:rsidRPr="00384FF6">
              <w:rPr>
                <w:lang w:val="en-US"/>
              </w:rPr>
              <w:t xml:space="preserve"> </w:t>
            </w:r>
            <w:r w:rsidRPr="00384FF6">
              <w:t>г.</w:t>
            </w:r>
          </w:p>
        </w:tc>
      </w:tr>
      <w:tr w:rsidR="00BC1DAA" w:rsidRPr="00384FF6" w14:paraId="3F4FE44D" w14:textId="77777777" w:rsidTr="00725F45">
        <w:tc>
          <w:tcPr>
            <w:tcW w:w="4253" w:type="dxa"/>
          </w:tcPr>
          <w:p w14:paraId="6B868EA4" w14:textId="77777777" w:rsidR="00BC1DAA" w:rsidRPr="00384FF6" w:rsidRDefault="00BC1DAA" w:rsidP="00CC3118">
            <w:pPr>
              <w:spacing w:before="120"/>
              <w:rPr>
                <w:lang w:val="en-US"/>
              </w:rPr>
            </w:pPr>
            <w:r w:rsidRPr="00384FF6">
              <w:rPr>
                <w:lang w:val="en-US"/>
              </w:rPr>
              <w:t>The Supplier hereby attests and certifies, as follows:</w:t>
            </w:r>
          </w:p>
        </w:tc>
        <w:tc>
          <w:tcPr>
            <w:tcW w:w="5092" w:type="dxa"/>
          </w:tcPr>
          <w:p w14:paraId="241B1DB8" w14:textId="7B878CE8" w:rsidR="00BC1DAA" w:rsidRPr="00384FF6" w:rsidRDefault="00BC1DAA" w:rsidP="00223A07">
            <w:pPr>
              <w:spacing w:before="120"/>
              <w:jc w:val="both"/>
              <w:rPr>
                <w:b/>
              </w:rPr>
            </w:pPr>
            <w:r w:rsidRPr="00384FF6">
              <w:t xml:space="preserve">Настоящим </w:t>
            </w:r>
            <w:r w:rsidR="00223A07" w:rsidRPr="00384FF6">
              <w:t>Участник</w:t>
            </w:r>
            <w:r w:rsidRPr="00384FF6">
              <w:t xml:space="preserve"> заверяет и подтверждает следующее:</w:t>
            </w:r>
          </w:p>
        </w:tc>
      </w:tr>
      <w:tr w:rsidR="00BC1DAA" w:rsidRPr="00384FF6" w14:paraId="7014FDD4" w14:textId="77777777" w:rsidTr="00725F45">
        <w:tc>
          <w:tcPr>
            <w:tcW w:w="4253" w:type="dxa"/>
          </w:tcPr>
          <w:p w14:paraId="76F62A3F" w14:textId="3B75FE64" w:rsidR="00BC1DAA" w:rsidRPr="00384FF6" w:rsidRDefault="00BC1DAA" w:rsidP="00F11632">
            <w:pPr>
              <w:pStyle w:val="a3"/>
              <w:numPr>
                <w:ilvl w:val="0"/>
                <w:numId w:val="2"/>
              </w:numPr>
              <w:spacing w:before="120"/>
              <w:ind w:left="0" w:firstLine="36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ru-RU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has all relevant information with regard to 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goods (software, licenses)</w:t>
            </w:r>
            <w:r w:rsidR="00C87551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(hereinafter the “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Goods</w:t>
            </w:r>
            <w:r w:rsidR="00C87551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”)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proposed for delivery based on the results of the procurement procedure No. </w:t>
            </w:r>
            <w:r w:rsidR="00384FF6" w:rsidRPr="00384FF6">
              <w:rPr>
                <w:lang w:val="en-US"/>
              </w:rPr>
              <w:t>2885-25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1D307A" w:rsidRPr="00384F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6BED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that is necessary to ensure compliance with applicable export control laws, rules, and regulations of the </w:t>
            </w:r>
            <w:r w:rsidR="00B431F0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Republic of Belarus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8A3612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 countries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(“Export Control Laws”)</w:t>
            </w:r>
            <w:r w:rsidRPr="00384FF6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CBFAFA4" w14:textId="77777777" w:rsidR="00BC1DAA" w:rsidRPr="00384FF6" w:rsidRDefault="00BC1DAA" w:rsidP="00CC3118">
            <w:pPr>
              <w:spacing w:before="120"/>
              <w:rPr>
                <w:b/>
                <w:lang w:val="en-US"/>
              </w:rPr>
            </w:pPr>
          </w:p>
        </w:tc>
        <w:tc>
          <w:tcPr>
            <w:tcW w:w="5092" w:type="dxa"/>
          </w:tcPr>
          <w:p w14:paraId="40C2110D" w14:textId="64550CD5" w:rsidR="00BC1DAA" w:rsidRPr="00384FF6" w:rsidRDefault="00BC1DAA" w:rsidP="00323B72">
            <w:pPr>
              <w:pStyle w:val="a3"/>
              <w:numPr>
                <w:ilvl w:val="0"/>
                <w:numId w:val="3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Он обладает всей актуальной информацией в отношении </w:t>
            </w:r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товаров (ПО, лицензий), </w:t>
            </w:r>
            <w:bookmarkStart w:id="0" w:name="OLE_LINK11"/>
            <w:bookmarkStart w:id="1" w:name="OLE_LINK12"/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>предлагаемых к поставке по рез</w:t>
            </w:r>
            <w:r w:rsidR="00035345" w:rsidRPr="00384FF6">
              <w:rPr>
                <w:rFonts w:ascii="Times New Roman" w:hAnsi="Times New Roman" w:cs="Times New Roman"/>
                <w:sz w:val="24"/>
                <w:szCs w:val="24"/>
              </w:rPr>
              <w:t>ультатам процедуры закупки № </w:t>
            </w:r>
            <w:r w:rsidR="00384FF6">
              <w:t>2885-25</w:t>
            </w:r>
            <w:bookmarkStart w:id="2" w:name="_GoBack"/>
            <w:bookmarkEnd w:id="2"/>
            <w:r w:rsidR="00274E3A" w:rsidRPr="00384FF6">
              <w:rPr>
                <w:rFonts w:ascii="Times New Roman" w:hAnsi="Times New Roman" w:cs="Times New Roman"/>
                <w:sz w:val="24"/>
                <w:szCs w:val="24"/>
              </w:rPr>
              <w:t>/ЗП</w:t>
            </w:r>
            <w:bookmarkEnd w:id="0"/>
            <w:bookmarkEnd w:id="1"/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551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551" w:rsidRPr="00384FF6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необходимой для обеспечения соблюдения применимого законодательства, правил и норм экспортного контроля </w:t>
            </w:r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12B81" w:rsidRPr="00384FF6">
              <w:rPr>
                <w:rFonts w:ascii="Times New Roman" w:hAnsi="Times New Roman" w:cs="Times New Roman"/>
                <w:sz w:val="24"/>
                <w:szCs w:val="24"/>
              </w:rPr>
              <w:t>иных стран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(далее - «Законодательство в области экспортного контроля»)</w:t>
            </w:r>
            <w:r w:rsidR="008A3612" w:rsidRPr="00384F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C1DAA" w:rsidRPr="00384FF6" w14:paraId="06D00611" w14:textId="77777777" w:rsidTr="00725F45">
        <w:tc>
          <w:tcPr>
            <w:tcW w:w="4253" w:type="dxa"/>
          </w:tcPr>
          <w:p w14:paraId="705AB39C" w14:textId="1DF3EC38" w:rsidR="00E74D5A" w:rsidRPr="00384FF6" w:rsidRDefault="00BC1DAA" w:rsidP="00C36F78">
            <w:pPr>
              <w:pStyle w:val="a3"/>
              <w:numPr>
                <w:ilvl w:val="0"/>
                <w:numId w:val="2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Goods being supplied are</w:t>
            </w:r>
            <w:r w:rsidR="00E74D5A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2A962C7" w14:textId="77777777" w:rsidR="00E74D5A" w:rsidRPr="00384FF6" w:rsidRDefault="00BC1DAA" w:rsidP="00C36F78">
            <w:pPr>
              <w:pStyle w:val="a3"/>
              <w:numPr>
                <w:ilvl w:val="0"/>
                <w:numId w:val="4"/>
              </w:numPr>
              <w:spacing w:before="180"/>
              <w:ind w:left="777" w:hanging="3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subject to Export Control Laws</w:t>
            </w:r>
            <w:r w:rsidR="00E74D5A"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or;</w:t>
            </w:r>
          </w:p>
          <w:p w14:paraId="173F56EB" w14:textId="77777777" w:rsidR="00E74D5A" w:rsidRPr="00384FF6" w:rsidRDefault="00255F2F" w:rsidP="00E74D5A">
            <w:pPr>
              <w:pStyle w:val="a3"/>
              <w:numPr>
                <w:ilvl w:val="0"/>
                <w:numId w:val="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subject to applicable exceptions (exclusions) from Export Control Laws, or;</w:t>
            </w:r>
          </w:p>
          <w:p w14:paraId="73F63B0D" w14:textId="77777777" w:rsidR="00255F2F" w:rsidRPr="00384FF6" w:rsidRDefault="00255F2F" w:rsidP="00E74D5A">
            <w:pPr>
              <w:pStyle w:val="a3"/>
              <w:numPr>
                <w:ilvl w:val="0"/>
                <w:numId w:val="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shipped subject to relevant licenses or authorizations by competent state authorities;</w:t>
            </w:r>
          </w:p>
          <w:p w14:paraId="48445F14" w14:textId="77777777" w:rsidR="00255F2F" w:rsidRPr="00384FF6" w:rsidRDefault="00255F2F" w:rsidP="00E74D5A">
            <w:pPr>
              <w:spacing w:before="120"/>
              <w:rPr>
                <w:lang w:val="en-US"/>
              </w:rPr>
            </w:pPr>
          </w:p>
          <w:p w14:paraId="020057C3" w14:textId="77777777" w:rsidR="00BC1DAA" w:rsidRPr="00384FF6" w:rsidRDefault="00BC1DAA" w:rsidP="00885E8E">
            <w:pPr>
              <w:spacing w:before="120"/>
              <w:rPr>
                <w:b/>
                <w:lang w:val="en-US"/>
              </w:rPr>
            </w:pPr>
            <w:r w:rsidRPr="00384FF6">
              <w:rPr>
                <w:lang w:val="en-US"/>
              </w:rPr>
              <w:t xml:space="preserve">and </w:t>
            </w:r>
            <w:proofErr w:type="gramStart"/>
            <w:r w:rsidRPr="00384FF6">
              <w:rPr>
                <w:lang w:val="en-US"/>
              </w:rPr>
              <w:t>accordingly</w:t>
            </w:r>
            <w:proofErr w:type="gramEnd"/>
            <w:r w:rsidRPr="00384FF6">
              <w:rPr>
                <w:lang w:val="en-US"/>
              </w:rPr>
              <w:t xml:space="preserve"> shipment of such Goods by the Supplier to MTS does not require any additional licenses or authorizations from any state authorities;</w:t>
            </w:r>
          </w:p>
        </w:tc>
        <w:tc>
          <w:tcPr>
            <w:tcW w:w="5092" w:type="dxa"/>
          </w:tcPr>
          <w:p w14:paraId="623390FB" w14:textId="52407D75" w:rsidR="00E74D5A" w:rsidRPr="00384FF6" w:rsidRDefault="00BC1DAA" w:rsidP="007D3414">
            <w:pPr>
              <w:pStyle w:val="a3"/>
              <w:numPr>
                <w:ilvl w:val="0"/>
                <w:numId w:val="3"/>
              </w:numPr>
              <w:spacing w:before="12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Товары, </w:t>
            </w:r>
            <w:r w:rsidR="00223A07" w:rsidRPr="00384FF6">
              <w:rPr>
                <w:rFonts w:ascii="Times New Roman" w:hAnsi="Times New Roman" w:cs="Times New Roman"/>
                <w:sz w:val="24"/>
                <w:szCs w:val="24"/>
              </w:rPr>
              <w:t>предлагаемые к поставке</w:t>
            </w:r>
            <w:r w:rsidR="00E74D5A" w:rsidRPr="00384F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F4DCF6A" w14:textId="77777777" w:rsidR="00E74D5A" w:rsidRPr="00384FF6" w:rsidRDefault="00BC1DAA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не подпадают под действие требований Законодательства в области экспортного контроля</w:t>
            </w:r>
            <w:r w:rsidR="00E74D5A" w:rsidRPr="00384FF6">
              <w:rPr>
                <w:rFonts w:ascii="Times New Roman" w:hAnsi="Times New Roman" w:cs="Times New Roman"/>
                <w:sz w:val="24"/>
                <w:szCs w:val="24"/>
              </w:rPr>
              <w:t>, либо;</w:t>
            </w:r>
          </w:p>
          <w:p w14:paraId="171B0B5F" w14:textId="77777777" w:rsidR="00E74D5A" w:rsidRPr="00384FF6" w:rsidRDefault="004C05BD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подпадают под действие применимых исключений из Законодательства в области экспортного контроля; либо</w:t>
            </w:r>
          </w:p>
          <w:p w14:paraId="03900AB7" w14:textId="77777777" w:rsidR="004C05BD" w:rsidRPr="00384FF6" w:rsidRDefault="00255F2F" w:rsidP="007D3414">
            <w:pPr>
              <w:pStyle w:val="a3"/>
              <w:numPr>
                <w:ilvl w:val="0"/>
                <w:numId w:val="4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поставляются на основании соответствующих ранее выданных лицензий или разрешений компетентных государственных органов;</w:t>
            </w:r>
          </w:p>
          <w:p w14:paraId="47F7C1BB" w14:textId="36C2D7E8" w:rsidR="00BC1DAA" w:rsidRPr="00384FF6" w:rsidRDefault="00BC1DAA" w:rsidP="007D3414">
            <w:pPr>
              <w:pStyle w:val="a3"/>
              <w:spacing w:before="12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и, соответственно, отгрузка таких Товаров Поставщиком для </w:t>
            </w:r>
            <w:r w:rsidR="007D3414" w:rsidRPr="00384FF6">
              <w:rPr>
                <w:rFonts w:ascii="Times New Roman" w:hAnsi="Times New Roman" w:cs="Times New Roman"/>
                <w:sz w:val="24"/>
                <w:szCs w:val="24"/>
              </w:rPr>
              <w:t>СООО «Мобильные ТелеСистемы» (</w:t>
            </w:r>
            <w:proofErr w:type="gramStart"/>
            <w:r w:rsidR="007D3414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МТС) 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proofErr w:type="gramEnd"/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требует каких-либо дополнительных лицензий или разрешений от каких-либо государственных органов;</w:t>
            </w:r>
          </w:p>
        </w:tc>
      </w:tr>
      <w:tr w:rsidR="00BC1DAA" w:rsidRPr="00384FF6" w14:paraId="208087FA" w14:textId="77777777" w:rsidTr="00725F45">
        <w:tc>
          <w:tcPr>
            <w:tcW w:w="4253" w:type="dxa"/>
          </w:tcPr>
          <w:p w14:paraId="75857990" w14:textId="0BFB6394" w:rsidR="00BC1DAA" w:rsidRPr="00384FF6" w:rsidRDefault="00BC1DAA" w:rsidP="00B431F0">
            <w:pPr>
              <w:pStyle w:val="a3"/>
              <w:numPr>
                <w:ilvl w:val="0"/>
                <w:numId w:val="2"/>
              </w:numPr>
              <w:tabs>
                <w:tab w:val="left" w:pos="314"/>
              </w:tabs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The export, re-export, deemed export and reexport, as well as in-country transfer of the Goods anywhere in 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Belarus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(both subject to the Contract and subject to any other possible contracts that MTS might conclude in future with third parties) is not restricted or prohibited by Export Control Laws; </w:t>
            </w:r>
          </w:p>
          <w:p w14:paraId="1C957CC8" w14:textId="77777777" w:rsidR="00BC1DAA" w:rsidRPr="00384FF6" w:rsidRDefault="00BC1DAA" w:rsidP="00CC3118">
            <w:pPr>
              <w:spacing w:before="120"/>
              <w:rPr>
                <w:b/>
                <w:lang w:val="en-US"/>
              </w:rPr>
            </w:pPr>
          </w:p>
        </w:tc>
        <w:tc>
          <w:tcPr>
            <w:tcW w:w="5092" w:type="dxa"/>
          </w:tcPr>
          <w:p w14:paraId="2DE0B4B0" w14:textId="7E8C00A5" w:rsidR="00BC1DAA" w:rsidRPr="00384FF6" w:rsidRDefault="00BC1DAA" w:rsidP="00B431F0">
            <w:pPr>
              <w:pStyle w:val="a3"/>
              <w:numPr>
                <w:ilvl w:val="0"/>
                <w:numId w:val="3"/>
              </w:numPr>
              <w:tabs>
                <w:tab w:val="left" w:pos="289"/>
              </w:tabs>
              <w:spacing w:before="12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Экспорт, реэкспорт, </w:t>
            </w:r>
            <w:r w:rsidR="00020083" w:rsidRPr="00384FF6">
              <w:rPr>
                <w:rFonts w:ascii="Times New Roman" w:hAnsi="Times New Roman" w:cs="Times New Roman"/>
                <w:sz w:val="24"/>
                <w:szCs w:val="24"/>
              </w:rPr>
              <w:t>подразумеваемый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 экспорт и реэкспорт, а также передача Товаров внутри страны в любой точке </w:t>
            </w:r>
            <w:r w:rsidR="007D3414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Беларусь 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(как по условиям Контракта, так и по условиям иных потенциальных контрактов, которые МТС может заключить в будущем с третьими лицами) не ограничены и не запрещены по Законодательству в области экспортного контроля;</w:t>
            </w:r>
          </w:p>
        </w:tc>
      </w:tr>
      <w:tr w:rsidR="00BC1DAA" w:rsidRPr="00384FF6" w14:paraId="24611E87" w14:textId="77777777" w:rsidTr="00725F45">
        <w:tc>
          <w:tcPr>
            <w:tcW w:w="4253" w:type="dxa"/>
          </w:tcPr>
          <w:p w14:paraId="7DED3298" w14:textId="7E8D6655" w:rsidR="00BC1DAA" w:rsidRPr="00384FF6" w:rsidRDefault="00BC1DAA" w:rsidP="00B431F0">
            <w:pPr>
              <w:pStyle w:val="a3"/>
              <w:numPr>
                <w:ilvl w:val="0"/>
                <w:numId w:val="2"/>
              </w:numPr>
              <w:tabs>
                <w:tab w:val="left" w:pos="314"/>
              </w:tabs>
              <w:spacing w:before="12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The Goods can be freely used for any direct or indirect end use in </w:t>
            </w:r>
            <w:r w:rsidR="00F11632"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Belarus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(including by government end-users and for government end-use</w:t>
            </w:r>
            <w:r w:rsidR="001D33D1"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384FF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0FBAFAF1" w14:textId="77777777" w:rsidR="00BC1DAA" w:rsidRPr="00384FF6" w:rsidRDefault="00BC1DAA" w:rsidP="00CC3118">
            <w:pPr>
              <w:spacing w:before="120"/>
              <w:rPr>
                <w:b/>
                <w:lang w:val="en-US"/>
              </w:rPr>
            </w:pPr>
          </w:p>
        </w:tc>
        <w:tc>
          <w:tcPr>
            <w:tcW w:w="5092" w:type="dxa"/>
          </w:tcPr>
          <w:p w14:paraId="13399DA2" w14:textId="77777777" w:rsidR="000157D0" w:rsidRPr="00384FF6" w:rsidRDefault="00BC1DAA" w:rsidP="00B431F0">
            <w:pPr>
              <w:pStyle w:val="a3"/>
              <w:numPr>
                <w:ilvl w:val="0"/>
                <w:numId w:val="3"/>
              </w:numPr>
              <w:tabs>
                <w:tab w:val="left" w:pos="355"/>
              </w:tabs>
              <w:spacing w:before="120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Товары можно свободно использовать по любому прямому или косвенному конечному назначению (включая государственными конечными пользователями, </w:t>
            </w:r>
            <w:r w:rsidR="007E44AD" w:rsidRPr="00384FF6">
              <w:rPr>
                <w:rFonts w:ascii="Times New Roman" w:hAnsi="Times New Roman" w:cs="Times New Roman"/>
                <w:sz w:val="24"/>
                <w:szCs w:val="24"/>
              </w:rPr>
              <w:t xml:space="preserve">либо для государственного 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конечного использован</w:t>
            </w:r>
            <w:r w:rsidR="001D33D1" w:rsidRPr="00384FF6">
              <w:rPr>
                <w:rFonts w:ascii="Times New Roman" w:hAnsi="Times New Roman" w:cs="Times New Roman"/>
                <w:sz w:val="24"/>
                <w:szCs w:val="24"/>
              </w:rPr>
              <w:t>ия)</w:t>
            </w:r>
            <w:r w:rsidRPr="00384F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1DAA" w:rsidRPr="00384FF6" w14:paraId="3670353A" w14:textId="77777777" w:rsidTr="00725F45">
        <w:tc>
          <w:tcPr>
            <w:tcW w:w="4253" w:type="dxa"/>
          </w:tcPr>
          <w:p w14:paraId="3CDCF03E" w14:textId="77777777" w:rsidR="00BC1DAA" w:rsidRPr="00384FF6" w:rsidRDefault="00BC1DAA" w:rsidP="00B431F0">
            <w:pPr>
              <w:spacing w:before="120"/>
              <w:jc w:val="both"/>
              <w:rPr>
                <w:lang w:val="en-US"/>
              </w:rPr>
            </w:pPr>
            <w:r w:rsidRPr="00384FF6">
              <w:rPr>
                <w:lang w:val="en-US"/>
              </w:rPr>
              <w:t>The information provided in this section is true, accurate, and complete as of the date of conclusion of the Contract</w:t>
            </w:r>
            <w:r w:rsidR="00885E8E" w:rsidRPr="00384FF6">
              <w:rPr>
                <w:lang w:val="en-US"/>
              </w:rPr>
              <w:t xml:space="preserve"> (signing of this Certification)</w:t>
            </w:r>
            <w:r w:rsidRPr="00384FF6">
              <w:rPr>
                <w:lang w:val="en-US"/>
              </w:rPr>
              <w:t>. If the Supplier will get any knowledge of any violations of Export Control Laws with regard to the Goods, it will immediately inform MTS of such facts.</w:t>
            </w:r>
          </w:p>
          <w:p w14:paraId="02F95424" w14:textId="77777777" w:rsidR="00BC1DAA" w:rsidRPr="00384FF6" w:rsidRDefault="00BC1DAA" w:rsidP="00CC3118">
            <w:pPr>
              <w:spacing w:before="120"/>
              <w:rPr>
                <w:b/>
                <w:lang w:val="en-US"/>
              </w:rPr>
            </w:pPr>
          </w:p>
        </w:tc>
        <w:tc>
          <w:tcPr>
            <w:tcW w:w="5092" w:type="dxa"/>
          </w:tcPr>
          <w:p w14:paraId="321DA5D9" w14:textId="77777777" w:rsidR="00BC1DAA" w:rsidRPr="00384FF6" w:rsidRDefault="00BC1DAA" w:rsidP="00BB52ED">
            <w:pPr>
              <w:spacing w:before="120"/>
              <w:jc w:val="both"/>
              <w:rPr>
                <w:b/>
              </w:rPr>
            </w:pPr>
            <w:r w:rsidRPr="00384FF6">
              <w:t>Информация, представленная в настоящем пункте, является достоверной, точной и полной на дату заключения Контракта</w:t>
            </w:r>
            <w:r w:rsidR="00885E8E" w:rsidRPr="00384FF6">
              <w:t xml:space="preserve"> (подписания настоящего Заверения)</w:t>
            </w:r>
            <w:r w:rsidRPr="00384FF6">
              <w:t>. Если Поставщику станет известно о каких-либо нарушениях требований Законодательства в области экспортного контроля в отношении Товаров, он незамедлительно проинформирует МТС о таких фактах.</w:t>
            </w:r>
          </w:p>
        </w:tc>
      </w:tr>
    </w:tbl>
    <w:p w14:paraId="5785B6DC" w14:textId="77777777" w:rsidR="000C20A3" w:rsidRPr="00384FF6" w:rsidRDefault="000C20A3" w:rsidP="00172ED3"/>
    <w:p w14:paraId="5A1DB62F" w14:textId="19ECD71C" w:rsidR="00725F45" w:rsidRPr="00384FF6" w:rsidRDefault="00725F45" w:rsidP="00963249">
      <w:pPr>
        <w:ind w:firstLine="708"/>
        <w:rPr>
          <w:i/>
          <w:lang w:val="en-US"/>
        </w:rPr>
      </w:pPr>
      <w:r w:rsidRPr="00384FF6">
        <w:t>_____________________________</w:t>
      </w:r>
      <w:r w:rsidR="00ED1BE2" w:rsidRPr="00384FF6">
        <w:tab/>
      </w:r>
      <w:r w:rsidR="00ED1BE2" w:rsidRPr="00384FF6">
        <w:tab/>
      </w:r>
      <w:r w:rsidR="00ED1BE2" w:rsidRPr="00384FF6">
        <w:rPr>
          <w:lang w:val="en-US"/>
        </w:rPr>
        <w:t>________________________</w:t>
      </w:r>
    </w:p>
    <w:p w14:paraId="7E7A455B" w14:textId="27B8BA44" w:rsidR="00172ED3" w:rsidRPr="00384FF6" w:rsidRDefault="00172ED3" w:rsidP="00172ED3">
      <w:pPr>
        <w:rPr>
          <w:lang w:val="en-US"/>
        </w:rPr>
      </w:pPr>
      <w:r w:rsidRPr="00384FF6">
        <w:rPr>
          <w:i/>
        </w:rPr>
        <w:t xml:space="preserve">                  </w:t>
      </w:r>
      <w:r w:rsidR="000C20A3" w:rsidRPr="00384FF6">
        <w:rPr>
          <w:i/>
        </w:rPr>
        <w:tab/>
      </w:r>
      <w:r w:rsidR="000C20A3" w:rsidRPr="00384FF6">
        <w:rPr>
          <w:i/>
          <w:lang w:val="en-US"/>
        </w:rPr>
        <w:t xml:space="preserve">  </w:t>
      </w:r>
      <w:r w:rsidR="00ED1BE2" w:rsidRPr="00384FF6">
        <w:rPr>
          <w:i/>
        </w:rPr>
        <w:t>ФИО/</w:t>
      </w:r>
      <w:r w:rsidR="00ED1BE2" w:rsidRPr="00384FF6">
        <w:rPr>
          <w:i/>
          <w:lang w:val="en-US"/>
        </w:rPr>
        <w:t>Name</w:t>
      </w:r>
      <w:r w:rsidR="000C20A3" w:rsidRPr="00384FF6">
        <w:rPr>
          <w:i/>
          <w:lang w:val="en-US"/>
        </w:rPr>
        <w:tab/>
      </w:r>
      <w:r w:rsidR="000C20A3" w:rsidRPr="00384FF6">
        <w:rPr>
          <w:i/>
          <w:lang w:val="en-US"/>
        </w:rPr>
        <w:tab/>
      </w:r>
      <w:r w:rsidR="000C20A3" w:rsidRPr="00384FF6">
        <w:rPr>
          <w:i/>
          <w:lang w:val="en-US"/>
        </w:rPr>
        <w:tab/>
      </w:r>
      <w:r w:rsidR="000C20A3" w:rsidRPr="00384FF6">
        <w:rPr>
          <w:i/>
          <w:lang w:val="en-US"/>
        </w:rPr>
        <w:tab/>
      </w:r>
      <w:r w:rsidR="000C20A3" w:rsidRPr="00384FF6">
        <w:rPr>
          <w:i/>
          <w:lang w:val="en-US"/>
        </w:rPr>
        <w:tab/>
      </w:r>
      <w:r w:rsidR="00ED1BE2" w:rsidRPr="00384FF6">
        <w:rPr>
          <w:i/>
        </w:rPr>
        <w:t>подпись/</w:t>
      </w:r>
      <w:r w:rsidR="00ED1BE2" w:rsidRPr="00384FF6">
        <w:rPr>
          <w:i/>
          <w:lang w:val="en-US"/>
        </w:rPr>
        <w:t>signature</w:t>
      </w:r>
    </w:p>
    <w:sectPr w:rsidR="00172ED3" w:rsidRPr="00384FF6" w:rsidSect="00F1786C">
      <w:pgSz w:w="11906" w:h="16838"/>
      <w:pgMar w:top="426" w:right="850" w:bottom="709" w:left="1701" w:header="427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220FD" w14:textId="77777777" w:rsidR="007A1AD4" w:rsidRDefault="007A1AD4" w:rsidP="00255ABC">
      <w:r>
        <w:separator/>
      </w:r>
    </w:p>
  </w:endnote>
  <w:endnote w:type="continuationSeparator" w:id="0">
    <w:p w14:paraId="742094D7" w14:textId="77777777" w:rsidR="007A1AD4" w:rsidRDefault="007A1AD4" w:rsidP="0025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1C813" w14:textId="77777777" w:rsidR="007A1AD4" w:rsidRDefault="007A1AD4" w:rsidP="00255ABC">
      <w:r>
        <w:separator/>
      </w:r>
    </w:p>
  </w:footnote>
  <w:footnote w:type="continuationSeparator" w:id="0">
    <w:p w14:paraId="30F9FBDA" w14:textId="77777777" w:rsidR="007A1AD4" w:rsidRDefault="007A1AD4" w:rsidP="00255ABC">
      <w:r>
        <w:continuationSeparator/>
      </w:r>
    </w:p>
  </w:footnote>
  <w:footnote w:id="1">
    <w:p w14:paraId="2D8F7052" w14:textId="77777777" w:rsidR="00BC1DAA" w:rsidRPr="000C20A3" w:rsidRDefault="00BC1DAA" w:rsidP="00BC1DAA">
      <w:pPr>
        <w:pStyle w:val="a4"/>
        <w:rPr>
          <w:rFonts w:ascii="Arial" w:hAnsi="Arial" w:cs="Arial"/>
          <w:color w:val="808080" w:themeColor="background1" w:themeShade="80"/>
          <w:sz w:val="16"/>
          <w:lang w:val="en-US"/>
        </w:rPr>
      </w:pPr>
      <w:r w:rsidRPr="000C20A3">
        <w:rPr>
          <w:rStyle w:val="a6"/>
          <w:rFonts w:ascii="Arial" w:hAnsi="Arial" w:cs="Arial"/>
          <w:color w:val="808080" w:themeColor="background1" w:themeShade="80"/>
        </w:rPr>
        <w:footnoteRef/>
      </w:r>
      <w:r w:rsidRPr="000C20A3">
        <w:rPr>
          <w:rFonts w:ascii="Arial" w:hAnsi="Arial" w:cs="Arial"/>
          <w:color w:val="808080" w:themeColor="background1" w:themeShade="80"/>
          <w:lang w:val="en-US"/>
        </w:rPr>
        <w:t xml:space="preserve"> </w:t>
      </w:r>
      <w:r w:rsidRPr="000C20A3">
        <w:rPr>
          <w:rFonts w:ascii="Arial" w:hAnsi="Arial" w:cs="Arial"/>
          <w:color w:val="808080" w:themeColor="background1" w:themeShade="80"/>
          <w:sz w:val="16"/>
          <w:lang w:val="en-US"/>
        </w:rPr>
        <w:t>Including</w:t>
      </w:r>
      <w:r w:rsidR="00C12B81" w:rsidRPr="000C20A3">
        <w:rPr>
          <w:rFonts w:ascii="Arial" w:hAnsi="Arial" w:cs="Arial"/>
          <w:color w:val="808080" w:themeColor="background1" w:themeShade="80"/>
          <w:sz w:val="16"/>
          <w:lang w:val="en-US"/>
        </w:rPr>
        <w:t xml:space="preserve"> Export Administration Regulations, 15 CFR 730-774</w:t>
      </w:r>
      <w:r w:rsidR="002D6570" w:rsidRPr="000C20A3">
        <w:rPr>
          <w:rFonts w:ascii="Arial" w:hAnsi="Arial" w:cs="Arial"/>
          <w:color w:val="808080" w:themeColor="background1" w:themeShade="80"/>
          <w:sz w:val="16"/>
          <w:lang w:val="en-US"/>
        </w:rPr>
        <w:t xml:space="preserve"> / </w:t>
      </w:r>
      <w:proofErr w:type="spellStart"/>
      <w:r w:rsidR="002D6570" w:rsidRPr="000C20A3">
        <w:rPr>
          <w:rFonts w:ascii="Arial" w:hAnsi="Arial" w:cs="Arial"/>
          <w:color w:val="808080" w:themeColor="background1" w:themeShade="80"/>
          <w:sz w:val="16"/>
          <w:lang w:val="en-US"/>
        </w:rPr>
        <w:t>Включая</w:t>
      </w:r>
      <w:proofErr w:type="spellEnd"/>
      <w:r w:rsidR="002D6570" w:rsidRPr="000C20A3">
        <w:rPr>
          <w:rFonts w:ascii="Arial" w:hAnsi="Arial" w:cs="Arial"/>
          <w:color w:val="808080" w:themeColor="background1" w:themeShade="80"/>
          <w:sz w:val="16"/>
          <w:lang w:val="en-US"/>
        </w:rPr>
        <w:t xml:space="preserve"> Export Administration Regulations, 15 CFR 730-774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56C11"/>
    <w:multiLevelType w:val="hybridMultilevel"/>
    <w:tmpl w:val="2224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D6EE3"/>
    <w:multiLevelType w:val="hybridMultilevel"/>
    <w:tmpl w:val="DAA218C2"/>
    <w:lvl w:ilvl="0" w:tplc="6A20D354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B6BC7"/>
    <w:multiLevelType w:val="hybridMultilevel"/>
    <w:tmpl w:val="0640183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661C7B3B"/>
    <w:multiLevelType w:val="hybridMultilevel"/>
    <w:tmpl w:val="9CBEA590"/>
    <w:lvl w:ilvl="0" w:tplc="48101254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BC"/>
    <w:rsid w:val="000157D0"/>
    <w:rsid w:val="00020083"/>
    <w:rsid w:val="00035345"/>
    <w:rsid w:val="000760D2"/>
    <w:rsid w:val="000A463C"/>
    <w:rsid w:val="000C20A3"/>
    <w:rsid w:val="000D3AB9"/>
    <w:rsid w:val="00170D25"/>
    <w:rsid w:val="00171F06"/>
    <w:rsid w:val="00172ED3"/>
    <w:rsid w:val="00186BED"/>
    <w:rsid w:val="001A221B"/>
    <w:rsid w:val="001D307A"/>
    <w:rsid w:val="001D33D1"/>
    <w:rsid w:val="00223A07"/>
    <w:rsid w:val="00255ABC"/>
    <w:rsid w:val="00255F2F"/>
    <w:rsid w:val="00274E3A"/>
    <w:rsid w:val="00276EFE"/>
    <w:rsid w:val="002B0233"/>
    <w:rsid w:val="002B0B96"/>
    <w:rsid w:val="002D6570"/>
    <w:rsid w:val="00323B72"/>
    <w:rsid w:val="0035186E"/>
    <w:rsid w:val="00355EAA"/>
    <w:rsid w:val="00384FF6"/>
    <w:rsid w:val="0048216E"/>
    <w:rsid w:val="0048696C"/>
    <w:rsid w:val="004C05BD"/>
    <w:rsid w:val="00501561"/>
    <w:rsid w:val="005360E0"/>
    <w:rsid w:val="00570C31"/>
    <w:rsid w:val="005C2F6D"/>
    <w:rsid w:val="005F7454"/>
    <w:rsid w:val="00616E02"/>
    <w:rsid w:val="0062516C"/>
    <w:rsid w:val="006339E1"/>
    <w:rsid w:val="00682E10"/>
    <w:rsid w:val="006F2DFA"/>
    <w:rsid w:val="00725F45"/>
    <w:rsid w:val="00780A9C"/>
    <w:rsid w:val="007A1AD4"/>
    <w:rsid w:val="007D3414"/>
    <w:rsid w:val="007D43FC"/>
    <w:rsid w:val="007E44AD"/>
    <w:rsid w:val="00851D21"/>
    <w:rsid w:val="00885E8E"/>
    <w:rsid w:val="008A3612"/>
    <w:rsid w:val="008A7FA4"/>
    <w:rsid w:val="00963249"/>
    <w:rsid w:val="00985E93"/>
    <w:rsid w:val="00A767A2"/>
    <w:rsid w:val="00B431F0"/>
    <w:rsid w:val="00BB52ED"/>
    <w:rsid w:val="00BC1DAA"/>
    <w:rsid w:val="00C12B81"/>
    <w:rsid w:val="00C36F78"/>
    <w:rsid w:val="00C87551"/>
    <w:rsid w:val="00CC3118"/>
    <w:rsid w:val="00CC3705"/>
    <w:rsid w:val="00DA295E"/>
    <w:rsid w:val="00E56B7A"/>
    <w:rsid w:val="00E74D5A"/>
    <w:rsid w:val="00ED1BE2"/>
    <w:rsid w:val="00F04092"/>
    <w:rsid w:val="00F11632"/>
    <w:rsid w:val="00F1786C"/>
    <w:rsid w:val="00F53137"/>
    <w:rsid w:val="00F8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B8BF9C"/>
  <w15:chartTrackingRefBased/>
  <w15:docId w15:val="{3DBE4A0F-18DA-4B87-B618-BFAB32CE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5AB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ABC"/>
    <w:pPr>
      <w:ind w:left="720"/>
    </w:pPr>
    <w:rPr>
      <w:rFonts w:ascii="Calibri" w:eastAsiaTheme="minorEastAsia" w:hAnsi="Calibri" w:cs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255AB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55AB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5ABC"/>
    <w:rPr>
      <w:vertAlign w:val="superscript"/>
    </w:rPr>
  </w:style>
  <w:style w:type="character" w:styleId="a7">
    <w:name w:val="Hyperlink"/>
    <w:basedOn w:val="a0"/>
    <w:uiPriority w:val="99"/>
    <w:unhideWhenUsed/>
    <w:rsid w:val="00255ABC"/>
    <w:rPr>
      <w:color w:val="0563C1"/>
      <w:u w:val="single"/>
    </w:rPr>
  </w:style>
  <w:style w:type="table" w:styleId="a8">
    <w:name w:val="Table Grid"/>
    <w:basedOn w:val="a1"/>
    <w:uiPriority w:val="39"/>
    <w:rsid w:val="00BC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37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3705"/>
    <w:rPr>
      <w:rFonts w:ascii="Segoe UI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CC370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C370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C3705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C370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C370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178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1786C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178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1786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9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8B110-6F27-48D4-990A-423A06BF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Попович Антон</dc:creator>
  <cp:keywords/>
  <dc:description/>
  <cp:lastModifiedBy>Летун Елена</cp:lastModifiedBy>
  <cp:revision>18</cp:revision>
  <dcterms:created xsi:type="dcterms:W3CDTF">2022-08-08T10:59:00Z</dcterms:created>
  <dcterms:modified xsi:type="dcterms:W3CDTF">2025-06-04T09:09:00Z</dcterms:modified>
</cp:coreProperties>
</file>